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b/>
          <w:sz w:val="24"/>
          <w:szCs w:val="24"/>
          <w:lang w:eastAsia="es-SV"/>
        </w:rPr>
        <w:t>Atentamente, me permito remitirles las sentencias que se consideran relevantes en el área de derecho privado, con aplicación del nuevo Código Procesal Civil y Mercantil según detalle a continuación:</w:t>
      </w:r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 1) Nombramiento de curador ad </w:t>
      </w:r>
      <w:proofErr w:type="spellStart"/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litem</w:t>
      </w:r>
      <w:proofErr w:type="spellEnd"/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para una sociedad disuelta y liquidada</w:t>
      </w:r>
    </w:p>
    <w:p w:rsidR="00353127" w:rsidRPr="00353127" w:rsidRDefault="00353127" w:rsidP="0035312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19-4CM-12-A</w:t>
      </w:r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 2) Procedimiento de disolución de sociedades de capital</w:t>
      </w:r>
    </w:p>
    <w:p w:rsidR="00353127" w:rsidRPr="00353127" w:rsidRDefault="00353127" w:rsidP="0035312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94-10MC3-2011</w:t>
      </w:r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 3) Diligencias de aceptación de herencia: Requisitos y conversión del trámite notarial a judicial</w:t>
      </w:r>
    </w:p>
    <w:p w:rsidR="00353127" w:rsidRPr="00353127" w:rsidRDefault="00353127" w:rsidP="00353127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38-12CM2-2012</w:t>
      </w:r>
    </w:p>
    <w:p w:rsidR="00353127" w:rsidRPr="00353127" w:rsidRDefault="00353127" w:rsidP="003531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  4) Obligatoriedad de agotar cada una de las etapas de la audiencia preparatoria</w:t>
      </w:r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           75-C-12</w:t>
      </w:r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 5) Causas que motivan la declaratoria de </w:t>
      </w:r>
      <w:proofErr w:type="spellStart"/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improponibilidad</w:t>
      </w:r>
      <w:proofErr w:type="spellEnd"/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de la pretensión</w:t>
      </w:r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            6-ESTADO-2012</w:t>
      </w:r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 </w:t>
      </w:r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6) Requisitos de la acción reivindicatoria, efectos cuando la acción se deriva de un pacto de retroventa y causas de </w:t>
      </w:r>
      <w:proofErr w:type="spellStart"/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impropoponibilidad</w:t>
      </w:r>
      <w:proofErr w:type="spellEnd"/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 de la pretensión</w:t>
      </w:r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            INC-07-CPCM-2012</w:t>
      </w:r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 xml:space="preserve">7) Proceso de Indemnización de Daños y Perjuicios: Causas de </w:t>
      </w:r>
      <w:proofErr w:type="spellStart"/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improponibilidad</w:t>
      </w:r>
      <w:proofErr w:type="spellEnd"/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            11-PC-CE-12</w:t>
      </w:r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8) Intereses derivados de un título de ejecución: Cómputo</w:t>
      </w:r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            98-EMS-12</w:t>
      </w:r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             </w:t>
      </w:r>
    </w:p>
    <w:p w:rsidR="00353127" w:rsidRPr="00353127" w:rsidRDefault="00353127" w:rsidP="003531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SV"/>
        </w:rPr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9) Nulidad de la audiencia probatoria: Falta de soporte técnico</w:t>
      </w:r>
    </w:p>
    <w:p w:rsidR="0054523C" w:rsidRDefault="00353127" w:rsidP="00353127">
      <w:pPr>
        <w:spacing w:before="100" w:beforeAutospacing="1" w:after="100" w:afterAutospacing="1" w:line="240" w:lineRule="auto"/>
        <w:jc w:val="both"/>
      </w:pPr>
      <w:r w:rsidRPr="00353127">
        <w:rPr>
          <w:rFonts w:ascii="Times New Roman" w:eastAsia="Times New Roman" w:hAnsi="Times New Roman" w:cs="Times New Roman"/>
          <w:sz w:val="24"/>
          <w:szCs w:val="24"/>
          <w:lang w:eastAsia="es-SV"/>
        </w:rPr>
        <w:t>            N°3-CM-12-20-07-12</w:t>
      </w:r>
    </w:p>
    <w:sectPr w:rsidR="0054523C" w:rsidSect="0054523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53127"/>
    <w:rsid w:val="00353127"/>
    <w:rsid w:val="00545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23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cxmsonormal">
    <w:name w:val="ecxmsonormal"/>
    <w:basedOn w:val="Normal"/>
    <w:rsid w:val="00353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9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973</Characters>
  <Application>Microsoft Office Word</Application>
  <DocSecurity>0</DocSecurity>
  <Lines>8</Lines>
  <Paragraphs>2</Paragraphs>
  <ScaleCrop>false</ScaleCrop>
  <Company>Juridico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Vanegas </dc:creator>
  <cp:keywords/>
  <dc:description/>
  <cp:lastModifiedBy>Francisco Vanegas </cp:lastModifiedBy>
  <cp:revision>1</cp:revision>
  <dcterms:created xsi:type="dcterms:W3CDTF">2013-01-13T00:01:00Z</dcterms:created>
  <dcterms:modified xsi:type="dcterms:W3CDTF">2013-01-13T00:03:00Z</dcterms:modified>
</cp:coreProperties>
</file>